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福建建筑学校建筑BIM实训室设备采购公告</w:t>
      </w:r>
    </w:p>
    <w:p>
      <w:pPr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为了满足学校</w:t>
      </w:r>
      <w:r>
        <w:rPr>
          <w:rFonts w:hint="eastAsia"/>
          <w:sz w:val="28"/>
          <w:szCs w:val="28"/>
        </w:rPr>
        <w:t>建筑BIM实训室的</w:t>
      </w:r>
      <w:r>
        <w:rPr>
          <w:rFonts w:hint="eastAsia" w:ascii="Calibri" w:hAnsi="Calibri" w:eastAsia="宋体" w:cs="Times New Roman"/>
          <w:sz w:val="28"/>
          <w:szCs w:val="28"/>
        </w:rPr>
        <w:t>实训教学需求，完善建筑BIM</w:t>
      </w:r>
      <w:r>
        <w:rPr>
          <w:rFonts w:hint="eastAsia"/>
          <w:sz w:val="28"/>
          <w:szCs w:val="28"/>
        </w:rPr>
        <w:t>实训室教学环境，我校拟采购一套VR建筑安全教育平台，欢迎符合资质条件的公司前来参与。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1、项目名称及内容：建筑BIM实训室VR建筑安全教育平台，设备及参数要求，详见附件1.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2、公司资质要求：具有境内合法注册的企业，注册资金100万元以上。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3、报送材料内容：设备报价单（详见附件2）、并提供经年检合格的法人营业执照（复印件）、法人授权委托书。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4、报送材料时间：2019年1月11日至2019年1月18日（工作日上午8：30-11：30，下午14：30-16：30）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报送材料地点：报送材料务必在2019年1月18日16时前，将文件袋封口密封并加盖公章送达学校办公室（联系人：林主任0591-63331302，张老师18650323977）。凡超过规定时间的，或不符合规定条件的采购文件，一律作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7、评审方式：资格预审，本项目最高报价不超过95000元，以元为单位，选用最低价中标。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8、签订合同：中标单位必须在规定的时间内与学校签订一式四份的采购合同，签订合同的具体时间另行通知。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福建建筑学校</w:t>
      </w:r>
    </w:p>
    <w:p>
      <w:pPr>
        <w:widowControl/>
        <w:jc w:val="lef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                      2019年1月11日</w:t>
      </w:r>
      <w:r>
        <w:rPr>
          <w:sz w:val="28"/>
          <w:szCs w:val="28"/>
        </w:rPr>
        <w:br w:type="page"/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10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276"/>
        <w:gridCol w:w="1494"/>
        <w:gridCol w:w="1908"/>
        <w:gridCol w:w="3769"/>
        <w:gridCol w:w="3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产品名称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功能模块</w:t>
            </w:r>
          </w:p>
        </w:tc>
        <w:tc>
          <w:tcPr>
            <w:tcW w:w="10206" w:type="dxa"/>
            <w:gridSpan w:val="4"/>
          </w:tcPr>
          <w:p>
            <w:pPr>
              <w:ind w:firstLine="5040" w:firstLineChars="2400"/>
            </w:pPr>
            <w:r>
              <w:rPr>
                <w:rFonts w:hint="eastAsia"/>
              </w:rPr>
              <w:t>主要参数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/>
          <w:p>
            <w:r>
              <w:rPr>
                <w:rFonts w:hint="eastAsia"/>
              </w:rPr>
              <w:t>1</w:t>
            </w:r>
          </w:p>
          <w:p/>
        </w:tc>
        <w:tc>
          <w:tcPr>
            <w:tcW w:w="1701" w:type="dxa"/>
            <w:vMerge w:val="restart"/>
          </w:tcPr>
          <w:p/>
          <w:p>
            <w:r>
              <w:rPr>
                <w:rFonts w:hint="eastAsia"/>
              </w:rPr>
              <w:t>VR安全教育平台软件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平台介绍</w:t>
            </w:r>
          </w:p>
        </w:tc>
        <w:tc>
          <w:tcPr>
            <w:tcW w:w="10206" w:type="dxa"/>
            <w:gridSpan w:val="4"/>
          </w:tcPr>
          <w:p>
            <w:r>
              <w:rPr>
                <w:rFonts w:hint="eastAsia"/>
              </w:rPr>
              <w:t>1. 操作提示功能</w:t>
            </w:r>
          </w:p>
          <w:p>
            <w:r>
              <w:rPr>
                <w:rFonts w:hint="eastAsia"/>
              </w:rPr>
              <w:t>必须具备语音和文字提示，对要操作的步骤进行提示操作，方便教学使用。</w:t>
            </w:r>
          </w:p>
          <w:p>
            <w:r>
              <w:rPr>
                <w:rFonts w:hint="eastAsia"/>
              </w:rPr>
              <w:t>2. 安全设备穿戴检测区</w:t>
            </w:r>
          </w:p>
          <w:p>
            <w:r>
              <w:rPr>
                <w:rFonts w:hint="eastAsia"/>
              </w:rPr>
              <w:t>在此区域进行安全帽和安全带的设备穿戴，可自主选择穿戴与否——穿戴操作，进行安全设备选择操作。并检测安全帽检测闸机体验。</w:t>
            </w:r>
          </w:p>
          <w:p>
            <w:r>
              <w:rPr>
                <w:rFonts w:hint="eastAsia"/>
              </w:rPr>
              <w:t>3. 体验区域选</w:t>
            </w:r>
          </w:p>
          <w:p>
            <w:r>
              <w:rPr>
                <w:rFonts w:hint="eastAsia"/>
              </w:rPr>
              <w:t>根据提示，使用手柄进行体验区域快速跳转，进入体验区域</w:t>
            </w:r>
          </w:p>
          <w:p>
            <w:r>
              <w:rPr>
                <w:rFonts w:hint="eastAsia"/>
              </w:rPr>
              <w:t>4. 情景体验</w:t>
            </w:r>
          </w:p>
          <w:p>
            <w:r>
              <w:rPr>
                <w:rFonts w:hint="eastAsia"/>
              </w:rPr>
              <w:t>在体验每个体验场景时，必须要有真实的视觉和体态感受。以灭火体验为例，必须真实展现火灾现场场景，有火焰和浓烟效果，拿起灭火器进行灭火操作。</w:t>
            </w:r>
          </w:p>
          <w:p>
            <w:r>
              <w:rPr>
                <w:rFonts w:hint="eastAsia"/>
              </w:rPr>
              <w:t>5. 循环体验</w:t>
            </w:r>
          </w:p>
          <w:p>
            <w:r>
              <w:rPr>
                <w:rFonts w:hint="eastAsia"/>
              </w:rPr>
              <w:t>根据提示操作，循环体验所有体验项目。</w:t>
            </w:r>
          </w:p>
          <w:p>
            <w:r>
              <w:rPr>
                <w:rFonts w:hint="eastAsia"/>
              </w:rPr>
              <w:t>★</w:t>
            </w:r>
            <w:r>
              <w:t>6.</w:t>
            </w:r>
            <w:r>
              <w:rPr>
                <w:rFonts w:hint="eastAsia"/>
              </w:rPr>
              <w:t>该平台分为自动模式和交互模式；平台可以按照规定路线体验学习，也可以按照自主路线学习。</w:t>
            </w:r>
          </w:p>
          <w:p>
            <w:r>
              <w:t>7.</w:t>
            </w:r>
            <w:r>
              <w:rPr>
                <w:rFonts w:hint="eastAsia"/>
              </w:rPr>
              <w:t>平台支持语音解说，手柄上文字指引。</w:t>
            </w:r>
          </w:p>
          <w:p>
            <w:r>
              <w:t>8.</w:t>
            </w:r>
            <w:r>
              <w:rPr>
                <w:rFonts w:hint="eastAsia"/>
              </w:rPr>
              <w:t>在VR场景中，进入工地前，必须有佩戴安全帽的操作方可进入工地现场，否则无法进入工地。</w:t>
            </w:r>
          </w:p>
          <w:p>
            <w:r>
              <w:rPr>
                <w:rFonts w:hint="eastAsia"/>
              </w:rPr>
              <w:t>★</w:t>
            </w:r>
            <w:r>
              <w:t>9.</w:t>
            </w:r>
            <w:r>
              <w:rPr>
                <w:rFonts w:hint="eastAsia"/>
              </w:rPr>
              <w:t>必须包含电锯伤害安全体验、氧气乙炔瓶爆炸安全体验、车辆交通伤害安全体验、钢丝绳吊装展示体验等模块。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软件模块介绍</w:t>
            </w:r>
          </w:p>
        </w:tc>
        <w:tc>
          <w:tcPr>
            <w:tcW w:w="10206" w:type="dxa"/>
            <w:gridSpan w:val="4"/>
          </w:tcPr>
          <w:p>
            <w:r>
              <w:rPr>
                <w:rFonts w:hint="eastAsia"/>
              </w:rPr>
              <w:t>★1. 消防设施综合体验：体验火灾现场使用灭火器，进行消防灭火体验。</w:t>
            </w:r>
          </w:p>
          <w:p>
            <w:r>
              <w:rPr>
                <w:rFonts w:hint="eastAsia"/>
              </w:rPr>
              <w:t>2. 挖机作业危险源体验：体验因挖掘机施工操作不当，导致基坑塌方体验。</w:t>
            </w:r>
          </w:p>
          <w:p>
            <w:r>
              <w:rPr>
                <w:rFonts w:hint="eastAsia"/>
              </w:rPr>
              <w:t>3. 高空坠物打击体验：体验因楼顶护栏不牢固，坠落后击中地面工作人员的体验。</w:t>
            </w:r>
          </w:p>
          <w:p>
            <w:r>
              <w:rPr>
                <w:rFonts w:hint="eastAsia"/>
              </w:rPr>
              <w:t>★4. 综合用电安全体验：体验因设备老化或操作不当，导致触电情况发生的体验。</w:t>
            </w:r>
          </w:p>
          <w:p>
            <w:r>
              <w:rPr>
                <w:rFonts w:hint="eastAsia"/>
              </w:rPr>
              <w:t>5. 洞口坠落安全体验：体验洞口临边防护不到位，致使工作人员失足坠落的体验。</w:t>
            </w:r>
          </w:p>
          <w:p>
            <w:r>
              <w:rPr>
                <w:rFonts w:hint="eastAsia"/>
              </w:rPr>
              <w:t>6. 塔吊作业危险源体验：体验因塔吊作业操作失误，导致塔吊碰撞并发生倒塌事故的体验。</w:t>
            </w:r>
          </w:p>
          <w:p>
            <w:r>
              <w:rPr>
                <w:rFonts w:hint="eastAsia"/>
              </w:rPr>
              <w:t>★7. 高空作业安全体验：体验高空作业时，操作或防护不到位，导致高空坠落事故的体验。</w:t>
            </w:r>
          </w:p>
          <w:p>
            <w:r>
              <w:rPr>
                <w:rFonts w:hint="eastAsia"/>
              </w:rPr>
              <w:t>8. 支模系统坍塌体验：体验因模板支撑体系搭设不牢固，致使在施工过程中楼板坍塌的体验。</w:t>
            </w:r>
          </w:p>
          <w:p>
            <w:r>
              <w:rPr>
                <w:rFonts w:hint="eastAsia"/>
              </w:rPr>
              <w:t>9. 墙体倾倒安全体验：体验墙体支撑不稳定，倾倒后砸倒人员的体验。</w:t>
            </w:r>
          </w:p>
          <w:p>
            <w:r>
              <w:rPr>
                <w:rFonts w:hint="eastAsia"/>
              </w:rPr>
              <w:t>10. 材料吊运安全体验：体验塔吊在吊运材料过程中，因为吊运绑扎不牢固，吊运的材料掉落砸到施工人员的体验。</w:t>
            </w:r>
          </w:p>
          <w:p>
            <w:r>
              <w:rPr>
                <w:rFonts w:hint="eastAsia"/>
              </w:rPr>
              <w:t>11. 建筑施工现场材料堆放标准体验：体验在建筑施工场地中，材料堆放的标准要求的体验。</w:t>
            </w:r>
          </w:p>
          <w:p>
            <w:r>
              <w:rPr>
                <w:rFonts w:hint="eastAsia"/>
              </w:rPr>
              <w:t>12. 脚手架垮塌安全体验：体验施工脚手架搭设不牢固，在施工过程中发生倒塌事故的体验。</w:t>
            </w:r>
          </w:p>
          <w:p>
            <w:r>
              <w:rPr>
                <w:rFonts w:hint="eastAsia"/>
              </w:rPr>
              <w:t>13．安全闸机体验：通过语音、文字引导提示，在此区域进行安全帽和安全带的设备穿戴，必须佩戴安全帽，才可以通过闸机，进入施工现场，否则不能通过闸机，进入现场。</w:t>
            </w:r>
          </w:p>
          <w:p>
            <w:r>
              <w:rPr>
                <w:rFonts w:hint="eastAsia"/>
              </w:rPr>
              <w:t>★1</w:t>
            </w:r>
            <w:r>
              <w:t>4.</w:t>
            </w:r>
            <w:r>
              <w:rPr>
                <w:rFonts w:hint="eastAsia"/>
              </w:rPr>
              <w:t>电锯伤害安全体验：通过语音、文字引导提示，体验木料加工过程中，由于加工人员的错误导致电锯伤害的体验。模拟材料加工的施工场景，是体验人员在木料存放区内进行木料切割，在用电锯切割木料过程中因木屑妨碍电锯加工，在没有关闭电锯电源的情况下用手拿走电锯附近的木屑，导致操作人员手指被电锯切掉，人员伴有疼痛、血喷和断指，体验到因操作错误导致人员发生事故的效果，达到安全教育的目的。</w:t>
            </w:r>
          </w:p>
          <w:p>
            <w:r>
              <w:rPr>
                <w:rFonts w:hint="eastAsia"/>
              </w:rPr>
              <w:t>★1</w:t>
            </w:r>
            <w:r>
              <w:t>5.</w:t>
            </w:r>
            <w:r>
              <w:rPr>
                <w:rFonts w:hint="eastAsia"/>
              </w:rPr>
              <w:t xml:space="preserve">氧气乙炔瓶爆炸安全体验：通过语音、文字引导提示，体验施工中氧气瓶、乙炔瓶随意存放，由于火灾导致爆炸事故的体验。模拟氧气乙炔瓶存放的施工场景，是体验人员在仓库内发现存放的氧气乙炔瓶，其存放不符合相关的安全规范，由于意外发生火灾导致氧气乙炔瓶爆炸造成更大的危害，体验人员伴有坠落、晕眩、震动和地面血迹，体验到氧气乙炔瓶爆炸的效果，同时可以第三视角查看事故，达到安全教育的目的。  </w:t>
            </w:r>
          </w:p>
          <w:p>
            <w:r>
              <w:rPr>
                <w:rFonts w:hint="eastAsia"/>
              </w:rPr>
              <w:t>★1</w:t>
            </w:r>
            <w:r>
              <w:t>6.</w:t>
            </w:r>
            <w:r>
              <w:rPr>
                <w:rFonts w:hint="eastAsia"/>
              </w:rPr>
              <w:t>钢丝绳吊装展示体验：通过语音、文字引导提示，体验施工中装配式构件的吊装，展示钢丝绳绳卡和钢丝绳索具的正确吊装方式。模拟汽车吊吊运装配式预制构件的场景，场景内有钢丝绳演示体验的指示牌，指示牌内介绍钢丝绳吊装的注意事项。吊装过程中，吊运现场有专人指挥，展示钢丝绳绳卡和钢丝绳索具的正确连接方法，避免因钢丝绳的连接导致吊运过程中发生安全事故，达到安全教育的目的。</w:t>
            </w:r>
          </w:p>
          <w:p>
            <w:r>
              <w:rPr>
                <w:rFonts w:hint="eastAsia"/>
              </w:rPr>
              <w:t>★1</w:t>
            </w:r>
            <w:r>
              <w:t>7.</w:t>
            </w:r>
            <w:r>
              <w:rPr>
                <w:rFonts w:hint="eastAsia"/>
              </w:rPr>
              <w:t>车辆交通伤害安全体验：通过语音、文字引导提示，体验施工运输中渣土车超载运输，在运输过程中失控导致交通事故的体验。模拟渣土车运输的场景，是挖机向渣土车中装土，司机在明知车辆超载情况下继续上路行驶，在运输过程中导致车辆失控、翻车把路边的工人撞死，人员伴有眩晕、震动和地面血迹，体验到车辆失控翻车和撞死工人的效果，同时可以第三视角查看事故，达到安全教育的目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VR设备一套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widowControl/>
              <w:spacing w:before="226" w:beforeAutospacing="0" w:afterAutospacing="0" w:line="9" w:lineRule="atLeast"/>
              <w:jc w:val="center"/>
              <w:rPr>
                <w:rFonts w:hint="default" w:ascii="Helvetica" w:hAnsi="Helvetica" w:eastAsia="Helvetica" w:cs="Helvetica"/>
                <w:b w:val="0"/>
              </w:rPr>
            </w:pPr>
            <w:r>
              <w:rPr>
                <w:rFonts w:hint="default" w:ascii="Helvetica" w:hAnsi="Helvetica" w:eastAsia="Helvetica" w:cs="Helvetica"/>
                <w:b w:val="0"/>
                <w:color w:val="212529"/>
                <w:shd w:val="clear" w:color="auto" w:fill="FFFFFF"/>
              </w:rPr>
              <w:t>头戴式设备</w:t>
            </w:r>
          </w:p>
          <w:p>
            <w:pPr>
              <w:jc w:val="center"/>
            </w:pPr>
          </w:p>
        </w:tc>
        <w:tc>
          <w:tcPr>
            <w:tcW w:w="10206" w:type="dxa"/>
            <w:gridSpan w:val="4"/>
          </w:tcPr>
          <w:p>
            <w:r>
              <w:t>屏幕：双AMOLED 屏幕，对角直径3.6吋</w:t>
            </w:r>
          </w:p>
          <w:p>
            <w:r>
              <w:t>分辨率：单眼分辨率为1080 x 1200像素（组合分辨率为2160 x 1200像素）</w:t>
            </w:r>
          </w:p>
          <w:p>
            <w:r>
              <w:t>刷新率：90 Hz</w:t>
            </w:r>
          </w:p>
          <w:p>
            <w:r>
              <w:t>视场角：110度</w:t>
            </w:r>
          </w:p>
          <w:p>
            <w:r>
              <w:t>安全性特色：VIVE陪护人引导系统和前置摄像头</w:t>
            </w:r>
          </w:p>
          <w:p>
            <w:r>
              <w:t>传感器：SteamVR追踪技术、G-sensor校正、gyroscope陀螺仪、proximity距离感测器</w:t>
            </w:r>
          </w:p>
          <w:p>
            <w:r>
              <w:t>连接口：HDMI、USB 2.0、3.5 mm立体耳机插座、电源插座、蓝牙支持</w:t>
            </w:r>
          </w:p>
          <w:p>
            <w:r>
              <w:t>输入：内建麦克风</w:t>
            </w:r>
          </w:p>
          <w:p>
            <w:r>
              <w:t>双眼舒压设计：瞳距和镜头距离调整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3"/>
              <w:widowControl/>
              <w:spacing w:before="226" w:beforeAutospacing="0" w:afterAutospacing="0" w:line="9" w:lineRule="atLeast"/>
              <w:jc w:val="center"/>
              <w:rPr>
                <w:rFonts w:hint="default" w:ascii="Helvetica" w:hAnsi="Helvetica" w:cs="Helvetica"/>
                <w:b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212529"/>
                <w:sz w:val="21"/>
                <w:szCs w:val="21"/>
                <w:shd w:val="clear" w:color="auto" w:fill="FFFFFF"/>
              </w:rPr>
              <w:t>操控手柄</w:t>
            </w:r>
            <w:r>
              <w:rPr>
                <w:rFonts w:ascii="Helvetica" w:hAnsi="Helvetica" w:cs="Helvetica"/>
                <w:b w:val="0"/>
                <w:color w:val="212529"/>
                <w:sz w:val="21"/>
                <w:szCs w:val="21"/>
                <w:shd w:val="clear" w:color="auto" w:fill="FFFFFF"/>
              </w:rPr>
              <w:t>设备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0206" w:type="dxa"/>
            <w:gridSpan w:val="4"/>
          </w:tcPr>
          <w:p>
            <w:r>
              <w:t>传感器：SteamVR追踪技术</w:t>
            </w:r>
          </w:p>
          <w:p>
            <w:r>
              <w:t>输入：多功能触摸面板、抓握键、双阶段扳机、系统键、菜单键</w:t>
            </w:r>
          </w:p>
          <w:p>
            <w:r>
              <w:t>单次充电使用量：约6小时</w:t>
            </w:r>
          </w:p>
          <w:p>
            <w:r>
              <w:t>连接口：Micro-USB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ascii="Helvetica" w:hAnsi="Helvetica" w:eastAsia="Helvetica" w:cs="Helvetica"/>
                <w:color w:val="212529"/>
                <w:shd w:val="clear" w:color="auto" w:fill="FFFFFF"/>
              </w:rPr>
              <w:t>空间定位追踪</w:t>
            </w:r>
          </w:p>
        </w:tc>
        <w:tc>
          <w:tcPr>
            <w:tcW w:w="10206" w:type="dxa"/>
            <w:gridSpan w:val="4"/>
          </w:tcPr>
          <w:p>
            <w:r>
              <w:t>站姿 /坐姿：无最小空间限制</w:t>
            </w:r>
          </w:p>
          <w:p>
            <w:r>
              <w:t>房间尺度（Room-scale）：最小为2米 X 1.5米，最大为两个定位器对角线距离5米</w:t>
            </w:r>
          </w:p>
          <w:p>
            <w:r>
              <w:rPr>
                <w:rFonts w:hint="eastAsia"/>
              </w:rPr>
              <w:t>VR系统均包含：1个头戴式设备、1个面部衬垫、1个鼻部衬垫、2个VIVE无线操控手柄、2个VIVE定位器、3合1连接线、串流盒、连接线，充电器和其他配件。</w:t>
            </w:r>
          </w:p>
          <w:p>
            <w:r>
              <w:rPr>
                <w:rFonts w:hint="eastAsia"/>
              </w:rPr>
              <w:t>TPCAST VIVE 无线套件</w:t>
            </w:r>
          </w:p>
          <w:p>
            <w:r>
              <w:rPr>
                <w:rFonts w:hint="eastAsia"/>
              </w:rPr>
              <w:t>电脑发射端（TX）1个、头显接收端（RX）1个、电源盒（Power Box）1个、路由器 1个、20000毫安移动电源 1个、移动电源收纳包 1个 、网线 1条、专用数据线1条、HDMI高清数据线一条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显示设备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电视</w:t>
            </w:r>
          </w:p>
        </w:tc>
        <w:tc>
          <w:tcPr>
            <w:tcW w:w="10206" w:type="dxa"/>
            <w:gridSpan w:val="4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基本参数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屏幕尺寸65寸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物理分辨率：3840*2160（4K分辨率）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屏幕比例：16:9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额定功耗：135W  刷新频率：60Hz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核心参数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核心数：30核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操作系统：TV+OS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RAM:1.5GB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UI界面：UI3.X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ROM:16GB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蓝牙：支持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网络参数</w:t>
            </w:r>
          </w:p>
        </w:tc>
        <w:tc>
          <w:tcPr>
            <w:tcW w:w="8712" w:type="dxa"/>
            <w:gridSpan w:val="3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支持有线/无线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接口参数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USB接口*1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HDMI2.0*2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网络接口*1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AV接口*1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RF接口*1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数字音频输出*1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8712" w:type="dxa"/>
            <w:gridSpan w:val="3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裸机尺寸：1456*247*900mm(含底座）1456*78*845mm（不含底座）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12" w:type="dxa"/>
            <w:gridSpan w:val="3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机身纤薄处：10.2mm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12" w:type="dxa"/>
            <w:gridSpan w:val="3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整机净重：19kg(含底座）18.8kg(不含底座）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产品附件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电视机*1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遥控器*1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说明书*1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8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底座*1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电源线*1</w:t>
            </w:r>
          </w:p>
        </w:tc>
        <w:tc>
          <w:tcPr>
            <w:tcW w:w="3035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VR主机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电脑主机（不含显示器）</w:t>
            </w:r>
          </w:p>
        </w:tc>
        <w:tc>
          <w:tcPr>
            <w:tcW w:w="10206" w:type="dxa"/>
            <w:gridSpan w:val="4"/>
            <w:vAlign w:val="center"/>
          </w:tcPr>
          <w:tbl>
            <w:tblPr>
              <w:tblStyle w:val="9"/>
              <w:tblW w:w="81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98"/>
              <w:gridCol w:w="688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主机配置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规格</w:t>
                  </w: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i7 8700/16G/500G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CPU</w:t>
                  </w: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intel Core i7 8700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散热</w:t>
                  </w: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酷冷至尊冰神B120/一体式水冷/高效静音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主板</w:t>
                  </w: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华硕B360M-KYLIN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显卡</w:t>
                  </w: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GeForceRTX 2070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硬盘</w:t>
                  </w: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P1 500G NVMe M.2 SSD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内存</w:t>
                  </w: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16G(8GB*2)马甲条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机箱</w:t>
                  </w: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IPASON赛格白游戏机箱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9" w:hRule="atLeast"/>
              </w:trPr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电源</w:t>
                  </w:r>
                </w:p>
              </w:tc>
              <w:tc>
                <w:tcPr>
                  <w:tcW w:w="6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额定550W</w:t>
                  </w:r>
                </w:p>
              </w:tc>
            </w:tr>
          </w:tbl>
          <w:p/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(二) 售后服务技术要求：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1、设备到货后，中标供应商须派专业技术人员到现场进行安装调试，达到采购方完全使用条件。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2、设备质量保证期从合同签订后次日算起</w:t>
      </w:r>
      <w:r>
        <w:rPr>
          <w:rFonts w:hint="eastAsia" w:asciiTheme="minorEastAsia" w:hAnsiTheme="minorEastAsia"/>
          <w:b/>
          <w:szCs w:val="21"/>
        </w:rPr>
        <w:t>叁年</w:t>
      </w:r>
      <w:r>
        <w:rPr>
          <w:rFonts w:hint="eastAsia" w:asciiTheme="minorEastAsia" w:hAnsiTheme="minorEastAsia"/>
          <w:szCs w:val="21"/>
        </w:rPr>
        <w:t>。质保期内中标供应商接到使用方出现问题需要上门服务的通知后，在本地范围内4小时内到达产品使用现场，进行处理，费用全部由中标人承担。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质保期内产品质量经权威机构鉴定不符合质量要求的，按合同约定承担违约责任。由厂家负责售后服务的货物请投标人注明。若中标供应商在4小时内未能及时到达使用现场，则招标人有权另行通知其他厂家进行维护，所发生的费用在中标供应商的质保金中扣除。且维修时间不得超过48小时，若48小时内无法完成的，提供代用或替换产品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4、质保期外中标供应商接到使用方设备出现问题的通知后，4小时内到达使用现场，进行处理，费用实行优惠（送修除外）。如需更换配件，按合同价计取，自更换之日起同样享受该配件质保期和售后服务。 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、软件产品升级服务要求：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（1）软件产品升级：是指中标供应商对其软件产品在原版本基础上做出重大改进，使其功能加强或运行速度加快，并由中标供应商正式发布该软件版本；自本合同签订之日起3年内, 针对中标供应商自有软件产品，中标供应商向采购方提供不收费的软件升级服务，3年之后，中标供应商按本软件升级当时中标供应商所在地软件市场价的15％收取升级费。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（2）增加新功能模块引起的相应变化不属于软件升级范畴。采购方如需要增加内容须另行购买。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</w:t>
      </w:r>
      <w:r>
        <w:rPr>
          <w:rFonts w:hint="eastAsia" w:asciiTheme="minorEastAsia" w:hAnsiTheme="minorEastAsia"/>
          <w:szCs w:val="21"/>
        </w:rPr>
        <w:t>、日常保障服务要求：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（1）7*24小时电话服务支援，快速响应的上门服务。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（2）主动回访服务：每月主动回访至少一次，及时解决问题，若电话解决不了，安排上门。</w:t>
      </w:r>
      <w:r>
        <w:rPr>
          <w:rFonts w:asciiTheme="minorEastAsia" w:hAnsiTheme="minorEastAsia"/>
          <w:szCs w:val="21"/>
        </w:rPr>
        <w:t>7</w:t>
      </w:r>
      <w:r>
        <w:rPr>
          <w:rFonts w:hint="eastAsia" w:asciiTheme="minorEastAsia" w:hAnsiTheme="minorEastAsia"/>
          <w:szCs w:val="21"/>
        </w:rPr>
        <w:t>、培训要求</w:t>
      </w:r>
      <w:r>
        <w:rPr>
          <w:rFonts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szCs w:val="21"/>
        </w:rPr>
        <w:t>设备</w:t>
      </w:r>
      <w:r>
        <w:rPr>
          <w:rFonts w:asciiTheme="minorEastAsia" w:hAnsiTheme="minorEastAsia"/>
          <w:szCs w:val="21"/>
        </w:rPr>
        <w:t>购</w:t>
      </w:r>
      <w:r>
        <w:rPr>
          <w:rFonts w:hint="eastAsia" w:asciiTheme="minorEastAsia" w:hAnsiTheme="minorEastAsia"/>
          <w:szCs w:val="21"/>
        </w:rPr>
        <w:t>买</w:t>
      </w:r>
      <w:r>
        <w:rPr>
          <w:rFonts w:asciiTheme="minorEastAsia" w:hAnsiTheme="minorEastAsia"/>
          <w:szCs w:val="21"/>
        </w:rPr>
        <w:t>后，</w:t>
      </w:r>
      <w:r>
        <w:rPr>
          <w:rFonts w:hint="eastAsia" w:asciiTheme="minorEastAsia" w:hAnsiTheme="minorEastAsia"/>
          <w:szCs w:val="21"/>
        </w:rPr>
        <w:t>中标供应商对学校</w:t>
      </w:r>
      <w:r>
        <w:rPr>
          <w:rFonts w:asciiTheme="minorEastAsia" w:hAnsiTheme="minorEastAsia"/>
          <w:szCs w:val="21"/>
        </w:rPr>
        <w:t>老师进行为</w:t>
      </w:r>
      <w:r>
        <w:rPr>
          <w:rFonts w:hint="eastAsia" w:asciiTheme="minorEastAsia" w:hAnsiTheme="minorEastAsia"/>
          <w:szCs w:val="21"/>
        </w:rPr>
        <w:t>期</w:t>
      </w:r>
      <w:r>
        <w:rPr>
          <w:rFonts w:asciiTheme="minorEastAsia" w:hAnsiTheme="minorEastAsia"/>
          <w:szCs w:val="21"/>
        </w:rPr>
        <w:t>三天的</w:t>
      </w:r>
      <w:r>
        <w:rPr>
          <w:rFonts w:hint="eastAsia" w:asciiTheme="minorEastAsia" w:hAnsiTheme="minorEastAsia"/>
          <w:szCs w:val="21"/>
        </w:rPr>
        <w:t>培训。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</w:t>
      </w:r>
      <w:r>
        <w:rPr>
          <w:rFonts w:hint="eastAsia" w:asciiTheme="minorEastAsia" w:hAnsiTheme="minorEastAsia"/>
          <w:szCs w:val="21"/>
        </w:rPr>
        <w:t>、交货安装地点及时间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1)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交货安装地点：采购方指定的地点。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2)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交货安装时间：合同签订后7个工作日。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>
        <w:rPr>
          <w:rFonts w:hint="eastAsia" w:asciiTheme="minorEastAsia" w:hAnsiTheme="minorEastAsia"/>
          <w:szCs w:val="21"/>
        </w:rPr>
        <w:t>、验收要求：产品安装完成后，正常运行7天内完成验收。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设备报价单</w:t>
      </w:r>
    </w:p>
    <w:tbl>
      <w:tblPr>
        <w:tblStyle w:val="10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701"/>
        <w:gridCol w:w="1134"/>
        <w:gridCol w:w="1134"/>
        <w:gridCol w:w="1100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设备型号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0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合计（大写）：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7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报价人信息：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报价日期：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手机：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公司名称（单位公章）：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5FA"/>
    <w:rsid w:val="000D737B"/>
    <w:rsid w:val="000F5FFB"/>
    <w:rsid w:val="000F65FA"/>
    <w:rsid w:val="00147786"/>
    <w:rsid w:val="002B46D5"/>
    <w:rsid w:val="00364859"/>
    <w:rsid w:val="00383385"/>
    <w:rsid w:val="00477D03"/>
    <w:rsid w:val="004C246D"/>
    <w:rsid w:val="005074D0"/>
    <w:rsid w:val="005C2A0B"/>
    <w:rsid w:val="006A1D92"/>
    <w:rsid w:val="006C319C"/>
    <w:rsid w:val="006C388F"/>
    <w:rsid w:val="007B3211"/>
    <w:rsid w:val="00832EAF"/>
    <w:rsid w:val="0083710B"/>
    <w:rsid w:val="0087028E"/>
    <w:rsid w:val="00925A4E"/>
    <w:rsid w:val="00953CE2"/>
    <w:rsid w:val="009A78E5"/>
    <w:rsid w:val="00A965E7"/>
    <w:rsid w:val="00B9261D"/>
    <w:rsid w:val="00BB3A02"/>
    <w:rsid w:val="00C05D10"/>
    <w:rsid w:val="00D64960"/>
    <w:rsid w:val="00E11192"/>
    <w:rsid w:val="00E52CF4"/>
    <w:rsid w:val="00F318DC"/>
    <w:rsid w:val="00F34381"/>
    <w:rsid w:val="00FE2A22"/>
    <w:rsid w:val="39574328"/>
    <w:rsid w:val="755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4"/>
    <w:semiHidden/>
    <w:qFormat/>
    <w:uiPriority w:val="99"/>
  </w:style>
  <w:style w:type="character" w:customStyle="1" w:styleId="14">
    <w:name w:val="标题 3 Char"/>
    <w:basedOn w:val="7"/>
    <w:link w:val="2"/>
    <w:qFormat/>
    <w:uiPriority w:val="9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5">
    <w:name w:val="标题 4 Char"/>
    <w:basedOn w:val="7"/>
    <w:link w:val="3"/>
    <w:semiHidden/>
    <w:qFormat/>
    <w:uiPriority w:val="9"/>
    <w:rPr>
      <w:rFonts w:ascii="宋体" w:hAnsi="宋体" w:eastAsia="宋体" w:cs="Times New Roman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8E179B-EF44-488E-828C-9046D36AF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681</Words>
  <Characters>3883</Characters>
  <Lines>32</Lines>
  <Paragraphs>9</Paragraphs>
  <TotalTime>263</TotalTime>
  <ScaleCrop>false</ScaleCrop>
  <LinksUpToDate>false</LinksUpToDate>
  <CharactersWithSpaces>4555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2018-11-28T02:54:00Z</dcterms:created>
  <dc:creator>thtf</dc:creator>
  <cp:lastModifiedBy>酱紫</cp:lastModifiedBy>
  <dcterms:modified xsi:type="dcterms:W3CDTF">2019-01-11T09:17:48Z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