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 w:cs="宋体"/>
          <w:b/>
          <w:bCs/>
          <w:sz w:val="36"/>
          <w:szCs w:val="36"/>
        </w:rPr>
      </w:pPr>
      <w:r>
        <w:rPr>
          <w:rStyle w:val="7"/>
          <w:rFonts w:ascii="宋体" w:hAnsi="宋体" w:cs="宋体"/>
          <w:b/>
          <w:bCs/>
          <w:sz w:val="36"/>
          <w:szCs w:val="36"/>
        </w:rPr>
        <w:t>福建建筑学校跳远塑胶跑道修复采购公告</w:t>
      </w:r>
    </w:p>
    <w:p>
      <w:pPr>
        <w:jc w:val="center"/>
        <w:rPr>
          <w:rStyle w:val="7"/>
          <w:rFonts w:ascii="宋体" w:hAnsi="宋体" w:cs="宋体"/>
          <w:b/>
          <w:bCs/>
          <w:sz w:val="36"/>
          <w:szCs w:val="36"/>
        </w:rPr>
      </w:pP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一、项目名称：福建建筑学校跳远塑胶跑道修复</w:t>
      </w: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二、项目内容：学校跳远场塑胶跑道修复，跑道面层为</w:t>
      </w:r>
      <w:r>
        <w:rPr>
          <w:rStyle w:val="7"/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透气型塑胶面层，厚度为13mm，修复面积约</w:t>
      </w:r>
      <w:r>
        <w:rPr>
          <w:rStyle w:val="7"/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Style w:val="7"/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平方米。</w:t>
      </w:r>
      <w:r>
        <w:rPr>
          <w:rStyle w:val="7"/>
          <w:rFonts w:ascii="宋体" w:hAnsi="宋体"/>
          <w:sz w:val="28"/>
          <w:szCs w:val="28"/>
        </w:rPr>
        <w:t>（详细内容需现场查看）</w:t>
      </w:r>
    </w:p>
    <w:p>
      <w:pPr>
        <w:ind w:firstLine="560" w:firstLineChars="200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三、项目工期：15天</w:t>
      </w: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四、技术要求：详见附件2、3</w:t>
      </w:r>
    </w:p>
    <w:p>
      <w:pPr>
        <w:ind w:firstLine="560" w:firstLineChars="200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五、投标报价：</w:t>
      </w:r>
      <w:r>
        <w:rPr>
          <w:rStyle w:val="7"/>
          <w:rFonts w:ascii="宋体" w:hAnsi="宋体"/>
          <w:kern w:val="0"/>
          <w:sz w:val="28"/>
          <w:szCs w:val="28"/>
        </w:rPr>
        <w:t>本项目控制价不超过3万元（叁万元整），按照最低价中标原则；报价严格</w:t>
      </w:r>
      <w:r>
        <w:rPr>
          <w:rStyle w:val="7"/>
          <w:rFonts w:ascii="宋体" w:hAnsi="宋体"/>
          <w:sz w:val="28"/>
          <w:szCs w:val="28"/>
        </w:rPr>
        <w:t>按招标清单要求报价（详见附件1）。</w:t>
      </w: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六、</w:t>
      </w:r>
      <w:r>
        <w:rPr>
          <w:rStyle w:val="7"/>
          <w:rFonts w:ascii="宋体" w:hAnsi="宋体"/>
          <w:color w:val="333333"/>
          <w:sz w:val="28"/>
          <w:szCs w:val="28"/>
        </w:rPr>
        <w:t>资格条件</w:t>
      </w:r>
    </w:p>
    <w:p>
      <w:pPr>
        <w:ind w:firstLine="560" w:firstLineChars="200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1.具有施工资质，应具具有体育或运动场地设施的合法注册施工资质单位</w:t>
      </w:r>
      <w:r>
        <w:rPr>
          <w:rStyle w:val="7"/>
          <w:rFonts w:ascii="宋体" w:hAnsi="宋体"/>
          <w:sz w:val="28"/>
          <w:szCs w:val="28"/>
        </w:rPr>
        <w:t>。</w:t>
      </w: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2.准备材料：报价清单（盖章附联系人及电话）、公司资质复印件（盖章）、法人授权委托书、投标人身份证复印件。（上述所有材料必须装订成册）</w:t>
      </w:r>
    </w:p>
    <w:p>
      <w:pPr>
        <w:ind w:firstLine="560" w:firstLineChars="200"/>
        <w:rPr>
          <w:rStyle w:val="7"/>
          <w:rFonts w:ascii="Arial" w:hAnsi="Arial"/>
          <w:color w:val="333333"/>
          <w:sz w:val="16"/>
          <w:szCs w:val="16"/>
        </w:rPr>
      </w:pPr>
      <w:r>
        <w:rPr>
          <w:rStyle w:val="7"/>
          <w:rFonts w:ascii="宋体" w:hAnsi="宋体"/>
          <w:color w:val="333333"/>
          <w:sz w:val="28"/>
          <w:szCs w:val="28"/>
        </w:rPr>
        <w:t>七、采购截止时间、地点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rPr>
          <w:rStyle w:val="7"/>
          <w:rFonts w:ascii="Arial" w:hAnsi="Arial"/>
          <w:color w:val="333333"/>
          <w:sz w:val="16"/>
          <w:szCs w:val="16"/>
        </w:rPr>
      </w:pPr>
      <w:r>
        <w:rPr>
          <w:rStyle w:val="7"/>
          <w:rFonts w:ascii="宋体" w:hAnsi="宋体"/>
          <w:color w:val="333333"/>
          <w:sz w:val="28"/>
          <w:szCs w:val="28"/>
        </w:rPr>
        <w:t>参加采购的单位务必在2019年10月18日上午十点前，将封口密封和加盖公章的采购文件送达学校办公室（办公室电话：0591-63331302）。凡超过规定时间的，或不符合规定条件和要求的采购文件，一律视为废标文件</w:t>
      </w:r>
      <w:bookmarkStart w:id="0" w:name="_GoBack"/>
      <w:r>
        <w:rPr>
          <w:rStyle w:val="7"/>
          <w:rFonts w:ascii="宋体" w:hAnsi="宋体"/>
          <w:color w:val="auto"/>
          <w:sz w:val="28"/>
          <w:szCs w:val="28"/>
        </w:rPr>
        <w:t>。10月16日上午10点统一看现场，有</w:t>
      </w:r>
      <w:bookmarkEnd w:id="0"/>
      <w:r>
        <w:rPr>
          <w:rStyle w:val="7"/>
          <w:rFonts w:ascii="宋体" w:hAnsi="宋体"/>
          <w:color w:val="333333"/>
          <w:sz w:val="28"/>
          <w:szCs w:val="28"/>
        </w:rPr>
        <w:t>需要咨询的可当日10点之前到校总务科后统一安排（校总务科电话：0591-63331334 ）。</w:t>
      </w:r>
      <w:r>
        <w:rPr>
          <w:rStyle w:val="7"/>
          <w:rFonts w:ascii="宋体" w:hAnsi="宋体"/>
          <w:color w:val="333333"/>
          <w:sz w:val="28"/>
          <w:szCs w:val="28"/>
        </w:rPr>
        <w:br w:type="textWrapping" w:clear="all"/>
      </w:r>
      <w:r>
        <w:rPr>
          <w:rStyle w:val="7"/>
          <w:rFonts w:ascii="宋体" w:hAnsi="宋体"/>
          <w:color w:val="333333"/>
          <w:sz w:val="28"/>
          <w:szCs w:val="28"/>
        </w:rPr>
        <w:t xml:space="preserve">     八、开标方式、评标方法</w:t>
      </w:r>
      <w:r>
        <w:rPr>
          <w:rStyle w:val="7"/>
          <w:rFonts w:ascii="宋体" w:hAnsi="宋体"/>
          <w:color w:val="333333"/>
          <w:sz w:val="28"/>
          <w:szCs w:val="28"/>
        </w:rPr>
        <w:br w:type="textWrapping" w:clear="all"/>
      </w:r>
      <w:r>
        <w:rPr>
          <w:rStyle w:val="7"/>
          <w:rFonts w:ascii="宋体" w:hAnsi="宋体"/>
          <w:color w:val="333333"/>
          <w:sz w:val="28"/>
          <w:szCs w:val="28"/>
        </w:rPr>
        <w:t xml:space="preserve">    投标截止后由学校安排开标时间，合格有效的投标文件，采用最低价中标，若报价相同，由校采购领导小组抽签决定。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九、签订合同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获得本轮采购的中标单位，必须在规定的时问内与学校采购代表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签订—式四份的中标采购合同，签订合同的具体时间由另行通知。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十、验收标准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验收标准：根据采购文件技术指标要求内容进行验收。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408" w:lineRule="atLeast"/>
        <w:ind w:firstLine="560" w:firstLineChars="200"/>
        <w:jc w:val="left"/>
        <w:textAlignment w:val="auto"/>
        <w:rPr>
          <w:rStyle w:val="7"/>
          <w:rFonts w:ascii="宋体" w:hAnsi="宋体"/>
          <w:color w:val="333333"/>
          <w:sz w:val="28"/>
          <w:szCs w:val="28"/>
        </w:rPr>
      </w:pPr>
      <w:r>
        <w:rPr>
          <w:rStyle w:val="7"/>
          <w:rFonts w:ascii="宋体" w:hAnsi="宋体"/>
          <w:color w:val="333333"/>
          <w:sz w:val="28"/>
          <w:szCs w:val="28"/>
        </w:rPr>
        <w:t>十一、付款方式</w:t>
      </w:r>
    </w:p>
    <w:p>
      <w:pPr>
        <w:ind w:firstLine="560" w:firstLineChars="200"/>
        <w:rPr>
          <w:rStyle w:val="7"/>
          <w:rFonts w:ascii="宋体" w:hAnsi="宋体"/>
          <w:sz w:val="28"/>
          <w:szCs w:val="28"/>
        </w:rPr>
      </w:pPr>
      <w:r>
        <w:rPr>
          <w:rStyle w:val="7"/>
          <w:rFonts w:ascii="宋体" w:hAnsi="宋体"/>
          <w:sz w:val="28"/>
          <w:szCs w:val="28"/>
        </w:rPr>
        <w:t>本项目无预付款，</w:t>
      </w:r>
      <w:r>
        <w:rPr>
          <w:rStyle w:val="13"/>
          <w:rFonts w:ascii="宋体" w:hAnsi="宋体"/>
          <w:sz w:val="28"/>
          <w:szCs w:val="28"/>
        </w:rPr>
        <w:t>工程竣工验收后，经甲方指定审核部门审核，并且工程资料归档完毕后，按照结算金额付至该金额的95%，剩余的5%自动转为质保金，缺陷责任期满后一年退还。</w:t>
      </w: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rPr>
          <w:rStyle w:val="7"/>
          <w:rFonts w:ascii="宋体" w:hAnsi="宋体"/>
        </w:rPr>
      </w:pPr>
    </w:p>
    <w:p>
      <w:pPr>
        <w:jc w:val="center"/>
        <w:rPr>
          <w:rStyle w:val="7"/>
          <w:rFonts w:ascii="宋体" w:hAnsi="宋体"/>
          <w:b/>
          <w:sz w:val="28"/>
          <w:szCs w:val="28"/>
        </w:rPr>
      </w:pPr>
    </w:p>
    <w:p>
      <w:pPr>
        <w:jc w:val="left"/>
        <w:rPr>
          <w:rStyle w:val="7"/>
          <w:rFonts w:ascii="宋体" w:hAnsi="宋体"/>
          <w:b/>
          <w:sz w:val="28"/>
          <w:szCs w:val="28"/>
        </w:rPr>
      </w:pPr>
      <w:r>
        <w:rPr>
          <w:rStyle w:val="7"/>
          <w:rFonts w:ascii="宋体" w:hAnsi="宋体"/>
          <w:b/>
          <w:sz w:val="28"/>
          <w:szCs w:val="28"/>
        </w:rPr>
        <w:t>附件1</w:t>
      </w:r>
    </w:p>
    <w:p>
      <w:pPr>
        <w:jc w:val="center"/>
        <w:rPr>
          <w:rStyle w:val="7"/>
          <w:rFonts w:ascii="宋体" w:hAnsi="宋体"/>
          <w:b/>
          <w:sz w:val="28"/>
          <w:szCs w:val="28"/>
        </w:rPr>
      </w:pPr>
      <w:r>
        <w:rPr>
          <w:rStyle w:val="7"/>
          <w:rFonts w:ascii="宋体" w:hAnsi="宋体"/>
          <w:b/>
          <w:sz w:val="28"/>
          <w:szCs w:val="28"/>
        </w:rPr>
        <w:t>塑胶跑道面层修复的投标报价清单</w:t>
      </w:r>
    </w:p>
    <w:tbl>
      <w:tblPr>
        <w:tblStyle w:val="4"/>
        <w:tblpPr w:leftFromText="180" w:rightFromText="180" w:vertAnchor="text" w:horzAnchor="page" w:tblpX="1335" w:tblpY="692"/>
        <w:tblOverlap w:val="never"/>
        <w:tblW w:w="1014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27"/>
        <w:gridCol w:w="2135"/>
        <w:gridCol w:w="755"/>
        <w:gridCol w:w="836"/>
        <w:gridCol w:w="1261"/>
        <w:gridCol w:w="1712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跳远塑胶跑道</w:t>
            </w:r>
          </w:p>
        </w:tc>
        <w:tc>
          <w:tcPr>
            <w:tcW w:w="7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3CB"/>
            <w:vAlign w:val="center"/>
          </w:tcPr>
          <w:p>
            <w:pPr>
              <w:jc w:val="left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2"/>
              </w:rPr>
            </w:pPr>
            <w:r>
              <w:rPr>
                <w:rStyle w:val="7"/>
                <w:rFonts w:ascii="宋体" w:hAnsi="宋体"/>
                <w:kern w:val="0"/>
                <w:sz w:val="22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13mm厚红色透气性塑胶面层铺装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31m*2.3m，基础底胶，1:4环保聚氨酯混合料与橡胶颗粒按比例混合修补平整。 喷涂界面剂，聚氨酯1:2面层混合料粘合剂与EPDM彩色颗粒混合喷涂塑胶面层。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2"/>
              </w:rPr>
            </w:pPr>
            <w:r>
              <w:rPr>
                <w:rStyle w:val="7"/>
                <w:rFonts w:ascii="宋体" w:hAnsi="宋体"/>
                <w:kern w:val="0"/>
                <w:sz w:val="22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起跳板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沙坑起跳板1.22×0.3×0.2米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7"/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  <w:t>合   计</w:t>
            </w:r>
          </w:p>
        </w:tc>
        <w:tc>
          <w:tcPr>
            <w:tcW w:w="78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  <w:t>　</w:t>
            </w:r>
          </w:p>
          <w:p>
            <w:pPr>
              <w:ind w:right="330"/>
              <w:rPr>
                <w:rStyle w:val="7"/>
                <w:rFonts w:ascii="宋体" w:hAnsi="宋体" w:cs="宋体"/>
                <w:b/>
                <w:bCs/>
                <w:kern w:val="0"/>
                <w:sz w:val="22"/>
                <w:u w:val="single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  <w:t>￥人民币（大写）：</w:t>
            </w:r>
          </w:p>
          <w:p>
            <w:pPr>
              <w:jc w:val="left"/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Style w:val="7"/>
                <w:rFonts w:ascii="宋体" w:hAnsi="宋体"/>
              </w:rPr>
              <w:t>备注</w:t>
            </w:r>
          </w:p>
        </w:tc>
        <w:tc>
          <w:tcPr>
            <w:tcW w:w="78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Style w:val="7"/>
                <w:rFonts w:ascii="宋体" w:hAnsi="宋体"/>
              </w:rPr>
              <w:t>以上价格含税、运输、施工、原场地铲除、场地打磨、垃圾清理等费用。</w:t>
            </w:r>
          </w:p>
        </w:tc>
      </w:tr>
    </w:tbl>
    <w:p>
      <w:pPr>
        <w:jc w:val="center"/>
        <w:rPr>
          <w:rStyle w:val="7"/>
          <w:rFonts w:ascii="宋体" w:hAnsi="宋体"/>
          <w:b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  <w:r>
        <w:rPr>
          <w:rStyle w:val="7"/>
          <w:rFonts w:ascii="宋体" w:hAnsi="宋体"/>
          <w:bCs/>
          <w:sz w:val="28"/>
          <w:szCs w:val="28"/>
        </w:rPr>
        <w:t>,</w:t>
      </w: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</w:p>
    <w:p>
      <w:pPr>
        <w:snapToGrid w:val="0"/>
        <w:rPr>
          <w:rStyle w:val="7"/>
          <w:rFonts w:ascii="宋体" w:hAnsi="宋体"/>
          <w:bCs/>
          <w:sz w:val="28"/>
          <w:szCs w:val="28"/>
        </w:rPr>
      </w:pPr>
      <w:r>
        <w:rPr>
          <w:rStyle w:val="7"/>
          <w:rFonts w:ascii="宋体" w:hAnsi="宋体"/>
          <w:bCs/>
          <w:sz w:val="28"/>
          <w:szCs w:val="28"/>
        </w:rPr>
        <w:t>附件2</w:t>
      </w:r>
    </w:p>
    <w:p>
      <w:pPr>
        <w:snapToGrid w:val="0"/>
        <w:jc w:val="center"/>
        <w:rPr>
          <w:rStyle w:val="7"/>
          <w:rFonts w:ascii="宋体" w:hAnsi="宋体"/>
          <w:b/>
          <w:sz w:val="30"/>
          <w:szCs w:val="30"/>
        </w:rPr>
      </w:pPr>
      <w:r>
        <w:rPr>
          <w:rStyle w:val="7"/>
          <w:rFonts w:ascii="宋体" w:hAnsi="宋体"/>
          <w:b/>
          <w:sz w:val="30"/>
          <w:szCs w:val="30"/>
        </w:rPr>
        <w:t>透气型跑道技术参数</w:t>
      </w:r>
    </w:p>
    <w:p>
      <w:pPr>
        <w:snapToGrid w:val="0"/>
        <w:jc w:val="center"/>
        <w:rPr>
          <w:rStyle w:val="7"/>
          <w:rFonts w:ascii="宋体" w:hAnsi="宋体"/>
          <w:b/>
          <w:sz w:val="30"/>
          <w:szCs w:val="30"/>
        </w:rPr>
      </w:pPr>
    </w:p>
    <w:p>
      <w:pPr>
        <w:rPr>
          <w:rStyle w:val="7"/>
          <w:rFonts w:ascii="宋体"/>
        </w:rPr>
      </w:pPr>
      <w:r>
        <w:rPr>
          <w:rStyle w:val="7"/>
          <w:rFonts w:ascii="宋体" w:hAnsi="宋体" w:cs="宋体"/>
          <w:b/>
          <w:bCs/>
        </w:rPr>
        <w:t>1、</w:t>
      </w:r>
      <w:r>
        <w:rPr>
          <w:rStyle w:val="7"/>
          <w:rFonts w:ascii="宋体" w:hAnsi="宋体" w:cs="宋体"/>
          <w:b/>
          <w:bCs/>
          <w:color w:val="000000"/>
        </w:rPr>
        <w:t>非固体原材料有害物质限量技术指标</w:t>
      </w:r>
    </w:p>
    <w:tbl>
      <w:tblPr>
        <w:tblStyle w:val="4"/>
        <w:tblW w:w="814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3825"/>
        <w:gridCol w:w="3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b/>
                <w:color w:val="000000"/>
                <w:sz w:val="20"/>
                <w:szCs w:val="20"/>
              </w:rPr>
              <w:t>检测项目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b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b/>
                <w:color w:val="000000"/>
                <w:sz w:val="22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</w:rPr>
              <w:t>有害物质含量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游离甲醛/（g/kg）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苯/（g/kg）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甲苯、二甲苯和乙苯总和 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3种邻苯二甲酸酯类化合物（DBP、BBP、DEHP)总和/（g/kg）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3种邻苯二甲酸酯类化合物（DNOP、DINP、DIDP)总和/（g/kg）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游离甲苯二异氰酸酯（TDI）和游离六亚甲基二异氰酸酯（HDI)总和(g/kg）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短链氯化石蜡(C10-C13)/（g/kg）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挥发性有机化合物/（g/L）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可溶性铅/(mg/kg)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可溶性镉/(mg/kg)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可溶性铬/(mg/kg)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可溶性汞/(mg/kg)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≤2</w:t>
            </w:r>
          </w:p>
        </w:tc>
      </w:tr>
    </w:tbl>
    <w:p>
      <w:pPr>
        <w:rPr>
          <w:rStyle w:val="7"/>
          <w:rFonts w:ascii="宋体" w:cs="宋体"/>
          <w:b/>
          <w:bCs/>
          <w:color w:val="000000"/>
        </w:rPr>
      </w:pPr>
    </w:p>
    <w:p>
      <w:pPr>
        <w:rPr>
          <w:rStyle w:val="7"/>
          <w:rFonts w:ascii="宋体" w:cs="宋体"/>
          <w:b/>
          <w:bCs/>
          <w:color w:val="000000"/>
        </w:rPr>
      </w:pPr>
    </w:p>
    <w:p>
      <w:pPr>
        <w:rPr>
          <w:rStyle w:val="7"/>
          <w:rFonts w:ascii="宋体" w:cs="宋体"/>
          <w:bCs/>
          <w:color w:val="000000"/>
        </w:rPr>
      </w:pPr>
      <w:r>
        <w:rPr>
          <w:rStyle w:val="7"/>
          <w:rFonts w:ascii="宋体" w:hAnsi="宋体"/>
          <w:b/>
          <w:color w:val="000000"/>
        </w:rPr>
        <w:t>2、合成材料面层透气型跑道成品中有害物质限量及释放量技术指标</w:t>
      </w:r>
    </w:p>
    <w:tbl>
      <w:tblPr>
        <w:tblStyle w:val="4"/>
        <w:tblW w:w="814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3825"/>
        <w:gridCol w:w="3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b/>
                <w:color w:val="000000"/>
              </w:rPr>
            </w:pPr>
            <w:r>
              <w:rPr>
                <w:rStyle w:val="7"/>
                <w:rFonts w:ascii="宋体" w:hAnsi="宋体"/>
                <w:b/>
                <w:color w:val="000000"/>
              </w:rPr>
              <w:t>检测项目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b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b/>
                <w:color w:val="000000"/>
                <w:sz w:val="22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</w:rPr>
              <w:t>有害物质含量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3种邻苯二甲酸酯类化合物（DBP、BBP、DEHP)总和a/（g/kg）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3种邻苯二甲酸酯类化合物（DNOP、DINP、DIDP)总和a/（g/kg）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18种多环芳烃总和b/（mg/kg）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≤20</w:t>
            </w:r>
            <w:r>
              <w:rPr>
                <w:rStyle w:val="14"/>
                <w:rFonts w:cs="Wingdings"/>
                <w:bCs/>
              </w:rPr>
              <w:t>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苯丙[a]芘/(mg/kg)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短链氯化石蜡（C10-C13)/(g/kg）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3,3′</w:t>
            </w:r>
            <w:r>
              <w:rPr>
                <w:rStyle w:val="7"/>
                <w:rFonts w:ascii="宋体"/>
                <w:color w:val="000000"/>
                <w:sz w:val="20"/>
                <w:szCs w:val="20"/>
              </w:rPr>
              <w:t>-</w:t>
            </w: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二氯-4,4′</w:t>
            </w:r>
            <w:r>
              <w:rPr>
                <w:rStyle w:val="7"/>
                <w:rFonts w:ascii="宋体"/>
                <w:color w:val="000000"/>
                <w:sz w:val="20"/>
                <w:szCs w:val="20"/>
              </w:rPr>
              <w:t>-</w:t>
            </w: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二氨基二苯基甲烷(MOCA)/ （g/kg）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游离甲苯二异氰酸酯（TDI）和游离六亚甲基二异氰酸酯（HDI)总和(mg/m2.h)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游离二苯基甲烷二异氰酸酯（MDI)(g/kg）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可溶性铅/(mg/kg)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可溶性镉/(mg/kg)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可溶性铬/(mg/kg)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可溶性汞/(mg/kg)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</w:rPr>
              <w:t>有害物质释放量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top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总挥发性有机化合物(TVOC)释放率/(mg/m2.h)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top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甲醛 /(mg/m2.h)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top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苯 /(mg/m2.h)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top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甲苯、二甲苯和乙苯总和/(mg/m2.h)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二硫化碳(mg/m2.h)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</w:rPr>
              <w:t>气味</w:t>
            </w:r>
          </w:p>
        </w:tc>
        <w:tc>
          <w:tcPr>
            <w:tcW w:w="3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/>
                <w:color w:val="000000"/>
                <w:sz w:val="20"/>
                <w:szCs w:val="20"/>
              </w:rPr>
            </w:pPr>
            <w:r>
              <w:rPr>
                <w:rStyle w:val="7"/>
                <w:rFonts w:ascii="宋体" w:hAnsi="宋体"/>
                <w:color w:val="000000"/>
                <w:sz w:val="20"/>
                <w:szCs w:val="20"/>
              </w:rPr>
              <w:t>气味等级/集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sz w:val="22"/>
              </w:rPr>
              <w:t>≤3级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7"/>
                <w:rFonts w:ascii="Wingdings" w:hAnsi="Wingdings"/>
                <w:color w:val="000000"/>
                <w:sz w:val="22"/>
              </w:rPr>
            </w:pPr>
          </w:p>
        </w:tc>
      </w:tr>
    </w:tbl>
    <w:p>
      <w:pPr>
        <w:rPr>
          <w:rStyle w:val="7"/>
          <w:rFonts w:ascii="宋体" w:hAnsi="宋体"/>
          <w:szCs w:val="21"/>
        </w:rPr>
      </w:pPr>
    </w:p>
    <w:p>
      <w:pPr>
        <w:ind w:firstLine="315" w:firstLineChars="150"/>
        <w:rPr>
          <w:rStyle w:val="7"/>
          <w:rFonts w:ascii="宋体" w:hAnsi="宋体"/>
          <w:szCs w:val="21"/>
        </w:rPr>
      </w:pPr>
      <w:r>
        <w:rPr>
          <w:rStyle w:val="7"/>
          <w:rFonts w:ascii="宋体" w:hAnsi="宋体"/>
          <w:szCs w:val="21"/>
        </w:rPr>
        <w:t>备注：需提供以下几项检测报告，（1）塑胶跑道产品均须获得依照安全指令 2009/48/EC:按照 EN71-3：2013测定19种元素转移测试的合格测试报告和参照IEC/EN61249-2-21:2003标准测试的合格测试报告；（2）塑胶面层涂料需具有依据GB/T19250-2013标准关于热处理（80℃，168h）碱处理（热处理（80℃，168h）、碱处理[0.1%NaOH+饱和Ca（OH）2溶液，168h]、酸处理2%H2SO4溶液，168h）以及人工气候老化1000小时和有害物质限量等指标的检测合格的检测报告；（3）塑胶球场须提供抗细菌（金黄色葡萄球菌、</w:t>
      </w:r>
      <w:r>
        <w:rPr>
          <w:rStyle w:val="7"/>
          <w:rFonts w:hint="eastAsia" w:ascii="宋体" w:hAnsi="宋体"/>
          <w:szCs w:val="21"/>
        </w:rPr>
        <w:t>大肠杆菌</w:t>
      </w:r>
      <w:r>
        <w:rPr>
          <w:rStyle w:val="7"/>
          <w:rFonts w:ascii="宋体" w:hAnsi="宋体"/>
          <w:szCs w:val="21"/>
        </w:rPr>
        <w:t>、肺炎克雷伯氏菌）性能均达到99.99%以上的检测报告；（4）塑胶跑道产品中所使用的液体须通过GB36246-2018《中小学合成材料面层运动场地》关于有害物质含量的全项检测。并提供第三方权威机构出具的检测合格报告；（5）塑胶跑道产品须通过GB36246-2018《中小学合成材料面层运动场地》关于物理性能的全项检测报告，并提供第三方权威机构出具的检测合格报告。（6）提供国家高分子工程材料及制品质量监督检验中心依据GB18583-2008、GB/T29608-2013、GB/T29614-2013、SN/T2570-2010、GB/T14833-2011、GB/T17592-2011、HG/T4065-2008标准对塑胶跑道（成品）检测合格的检测报告。</w:t>
      </w: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</w:p>
    <w:p>
      <w:pPr>
        <w:rPr>
          <w:rStyle w:val="7"/>
          <w:rFonts w:ascii="宋体" w:hAnsi="宋体" w:cs="宋体"/>
          <w:bCs/>
          <w:sz w:val="32"/>
          <w:szCs w:val="32"/>
        </w:rPr>
      </w:pPr>
      <w:r>
        <w:rPr>
          <w:rStyle w:val="7"/>
          <w:rFonts w:ascii="宋体" w:hAnsi="宋体" w:cs="宋体"/>
          <w:bCs/>
          <w:sz w:val="32"/>
          <w:szCs w:val="32"/>
        </w:rPr>
        <w:t>附件3</w:t>
      </w:r>
    </w:p>
    <w:p>
      <w:pPr>
        <w:jc w:val="center"/>
        <w:rPr>
          <w:rStyle w:val="7"/>
          <w:rFonts w:ascii="宋体" w:hAnsi="宋体"/>
          <w:b/>
          <w:sz w:val="30"/>
          <w:szCs w:val="30"/>
        </w:rPr>
      </w:pPr>
      <w:r>
        <w:rPr>
          <w:rStyle w:val="7"/>
          <w:rFonts w:ascii="宋体" w:hAnsi="宋体" w:cs="宋体"/>
          <w:b/>
          <w:bCs/>
          <w:sz w:val="30"/>
          <w:szCs w:val="30"/>
        </w:rPr>
        <w:t>跑道Epdm面层施工技术要求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>塑胶跑道修补采用epdm面层施工，应注意以下几点：</w:t>
      </w:r>
    </w:p>
    <w:p>
      <w:pPr>
        <w:ind w:firstLine="560" w:firstLineChars="200"/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>一、 基础底面的要求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 xml:space="preserve">    1、 在水泥混凝土铺装，要求具有一定的强度和稳定性（水泥混凝土基础需要切割伸缩缝，可不做防水层）。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 xml:space="preserve">    2、 基础严禁产生裂缝和由于冰冻引起的不均匀冻胀。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 xml:space="preserve">    3、 基础具有较好地平整度和规定坡度。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 xml:space="preserve">    4、 表面必须平坦、保证排水。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  <w:r>
        <w:rPr>
          <w:rStyle w:val="7"/>
          <w:rFonts w:ascii="宋体" w:hAnsi="宋体" w:cs="宋体"/>
          <w:bCs/>
          <w:sz w:val="28"/>
          <w:szCs w:val="28"/>
        </w:rPr>
        <w:t xml:space="preserve">    5、 基础表面要保持清洁干燥，基础完工后，严格要求21天以上的保养期。</w:t>
      </w:r>
    </w:p>
    <w:p>
      <w:pPr>
        <w:ind w:firstLine="560" w:firstLineChars="200"/>
        <w:rPr>
          <w:rStyle w:val="7"/>
          <w:rFonts w:ascii="宋体" w:hAnsi="宋体"/>
          <w:color w:val="000000"/>
          <w:kern w:val="0"/>
          <w:sz w:val="24"/>
        </w:rPr>
      </w:pPr>
      <w:r>
        <w:rPr>
          <w:rStyle w:val="7"/>
          <w:rFonts w:ascii="宋体" w:hAnsi="宋体" w:cs="宋体"/>
          <w:bCs/>
          <w:sz w:val="28"/>
          <w:szCs w:val="28"/>
        </w:rPr>
        <w:t>二、 施工工艺要求</w:t>
      </w:r>
    </w:p>
    <w:p>
      <w:pPr>
        <w:spacing w:line="360" w:lineRule="auto"/>
        <w:ind w:left="933" w:leftChars="111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（1）地面整修：原场地铲除，垃圾清理，清洁处理地面，除尘除污，找平基层，打磨地面。</w:t>
      </w:r>
    </w:p>
    <w:p>
      <w:pPr>
        <w:spacing w:line="360" w:lineRule="auto"/>
        <w:ind w:left="933" w:leftChars="111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（2）防水底油涂布：确认底材已找平，并达含水率≤8%可施工程度时，用刷子或滚筒施工渗透型防水底漆，以使起到加强基础及同面层粘结的能力，起到防水加强及增强粘结的作用。</w:t>
      </w:r>
    </w:p>
    <w:p>
      <w:pPr>
        <w:spacing w:line="360" w:lineRule="auto"/>
        <w:ind w:left="933" w:leftChars="111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（3）基材铺设（橡胶粒层）：橡胶颗粒材料和胶水按比例搅拌均匀后，倒在地面上，用齿状PU耙镘开，用专用摊铺机按设计厚度机械整平压实，以控制用量和厚度；不平处继续找平。</w:t>
      </w:r>
    </w:p>
    <w:p>
      <w:pPr>
        <w:spacing w:line="360" w:lineRule="auto"/>
        <w:ind w:left="933" w:leftChars="111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（4）表面颗粒喷涂：将PU面漆混合橡胶颗粒（抗老化，耐色变之全天候颗粒）用专用喷涂机均匀喷撒在橡胶基层之上表面（喷涂2-3次），务必使颗粒层平整均匀；面漆包裹住颗粒，以使场地更加耐用。</w:t>
      </w:r>
    </w:p>
    <w:p>
      <w:pPr>
        <w:spacing w:line="360" w:lineRule="auto"/>
        <w:ind w:left="933" w:leftChars="111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（5）划线：用白色面漆，依设计尺寸喷涂体育线，保证线宽一致，色泽均匀，无虚边出现。</w:t>
      </w:r>
    </w:p>
    <w:p>
      <w:pPr>
        <w:spacing w:line="360" w:lineRule="auto"/>
        <w:ind w:firstLine="274" w:firstLineChars="98"/>
        <w:jc w:val="left"/>
        <w:rPr>
          <w:rStyle w:val="7"/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Style w:val="7"/>
          <w:rFonts w:ascii="宋体" w:hAnsi="宋体" w:cs="宋体"/>
          <w:bCs/>
          <w:color w:val="000000"/>
          <w:kern w:val="0"/>
          <w:sz w:val="28"/>
          <w:szCs w:val="28"/>
        </w:rPr>
        <w:t>三、塑胶跑道施工方法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（1）13mm透气式塑胶跑道铺设施工工艺是采用两步施工法进行铺设的。底层颗粒层，摊铺厚度为10毫米，底层晒干后，在胶粒层再喷涂厚度为3毫米的胶粒同面漆的混合层。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（2）施工方案的说明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① 配料、搅拌：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a. 施工队进场后，首先清点所有材料的品种及数量，列出清单，并交监理签字。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b. 检查搅拌机、推料车等机械设备是否运转正常，发现问题及时修理。对现场的材料进行抽查检验，每个批号做一块测试试片。发现材料变质、变色应停止使用。如有沉淀，使其均匀。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c. 配料时要保持配料区域的清洁卫生，粘有胶液的杂物不可乱丢乱放，以免污染环境。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d. 配料人员要认真清点原材料的品种、型号，确认与施工现场所需材料相同，才能将材料推上放料架，排列整齐，桶口向下备用。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e. 放料时首先放出桶内气体，再打开桶口，将胶液放入干净的倒料桶内。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f. 橡胶粒底层控制在10mm，用胶水和橡胶粒搅拌均匀。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g.配料速度要准确、快捷，保证施工地点材量用量，使其不能有过长的间隙，以免出现未铺设好的情况下就出现材料固化的情况，影响质量。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h. 配料结束后认真清理现场卫生。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 xml:space="preserve">② 底胶铺设： 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a. 铺设底材之前先将地基基础清扫干净，准备好施工用的工具，按施工图纸要求的厚度调试好机器的及它的厚度。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b. 按照工程情况合理分好施工板块，测量出施工线的位置，放好施工线。铺设过程中要保持橡胶粒的厚度一致，接边、接头无痕迹。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c. 底材铺设这前，先将地基基础凹陷严重的位置用底胶加橡胶颗粒刮平，凸起的位置将其打掉使其平整。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d. 铺设过程中，铺设人员要保证机器行走速度均匀，修边人员要动作熟练，及时对露底、凹陷处进行补胶，凸起的部位刮平，边缘整齐平整。修边人员不少于两名。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e.铺设的橡粒怪固化后，对全场进行检查，发现边缘不整齐或有凹凸之处，要进行削割、打磨、补胶和修整处理，以保证面胶铺设的厚度。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③ 跑道面胶的喷涂：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a. 待橡胶胶粒层固化成形后，方可在其表面喷涂胶浆层（一般为红色）,用胶粒和PU跑道面漆配料，首先将PU面漆按比例配料混合搅拌均匀，在搅拌过程中加入胶粒。然后将料倒入专业喷涂器喷涂在胶粒层表面。喷涂时可根据胶浆的稀绸度加入适量稀料。喷涂次序均匀喷涂两遍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b. 喷胶人员施工前要计算好胶液用量，每一桶胶液所刮胶的长度，做好标记，做到心中有数，合理利用材料。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c. 运料动作要干净、快捷，倒料时分多次倒下，桶边的余料及时清理，保持桶外清洁，为喷胶人员创造良好的条件。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 xml:space="preserve">④ 塑胶跑道工艺线的测量、喷划： 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a. 专业技术人员对场地进行测量，所使用的经纬仪、钢卷尺等都需经过国家级检测部门检测合格的方可使用，准确计算温改、尺改，确保测量的准确性，各标志线的位置距终点线的距离长度不允许出现负差，正差一定小于1/10000。</w:t>
      </w:r>
    </w:p>
    <w:p>
      <w:pPr>
        <w:spacing w:line="360" w:lineRule="auto"/>
        <w:ind w:left="939" w:leftChars="114" w:hanging="700" w:hangingChars="250"/>
        <w:jc w:val="left"/>
        <w:rPr>
          <w:rStyle w:val="7"/>
          <w:rFonts w:ascii="宋体" w:hAnsi="宋体"/>
          <w:color w:val="000000"/>
          <w:kern w:val="0"/>
          <w:sz w:val="28"/>
          <w:szCs w:val="28"/>
        </w:rPr>
      </w:pPr>
      <w:r>
        <w:rPr>
          <w:rStyle w:val="7"/>
          <w:rFonts w:ascii="宋体" w:hAnsi="宋体"/>
          <w:color w:val="000000"/>
          <w:kern w:val="0"/>
          <w:sz w:val="28"/>
          <w:szCs w:val="28"/>
        </w:rPr>
        <w:t>b. 横向坡度不大于1/100，纵向坡度不大于1/1000。</w:t>
      </w:r>
    </w:p>
    <w:p>
      <w:pPr>
        <w:rPr>
          <w:rStyle w:val="7"/>
          <w:rFonts w:ascii="宋体" w:hAnsi="宋体" w:cs="宋体"/>
          <w:bCs/>
          <w:sz w:val="28"/>
          <w:szCs w:val="28"/>
        </w:rPr>
      </w:pPr>
    </w:p>
    <w:p>
      <w:pPr>
        <w:rPr>
          <w:rStyle w:val="7"/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5E"/>
    <w:rsid w:val="00220C52"/>
    <w:rsid w:val="0078624F"/>
    <w:rsid w:val="009C675E"/>
    <w:rsid w:val="0864094A"/>
    <w:rsid w:val="10944380"/>
    <w:rsid w:val="3FFA1CCB"/>
    <w:rsid w:val="556E49EE"/>
    <w:rsid w:val="5DD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7"/>
    <w:link w:val="10"/>
    <w:uiPriority w:val="0"/>
    <w:rPr>
      <w:kern w:val="2"/>
      <w:sz w:val="18"/>
      <w:szCs w:val="18"/>
    </w:rPr>
  </w:style>
  <w:style w:type="paragraph" w:customStyle="1" w:styleId="10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1"/>
    <w:basedOn w:val="7"/>
    <w:link w:val="12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2"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UserStyle_3"/>
    <w:basedOn w:val="7"/>
    <w:qFormat/>
    <w:uiPriority w:val="0"/>
    <w:rPr>
      <w:rFonts w:ascii="Wingdings" w:hAnsi="Wingdings"/>
      <w:b/>
      <w:color w:val="000000"/>
      <w:sz w:val="22"/>
      <w:szCs w:val="22"/>
    </w:rPr>
  </w:style>
  <w:style w:type="paragraph" w:customStyle="1" w:styleId="15">
    <w:name w:val="HtmlNormal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6">
    <w:name w:val="TableGrid"/>
    <w:basedOn w:val="8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3741</Characters>
  <Lines>31</Lines>
  <Paragraphs>8</Paragraphs>
  <TotalTime>6</TotalTime>
  <ScaleCrop>false</ScaleCrop>
  <LinksUpToDate>false</LinksUpToDate>
  <CharactersWithSpaces>4389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2019-10-11T01:53:00Z</dcterms:created>
  <dc:creator>WPS Office</dc:creator>
  <cp:lastModifiedBy>Administrator</cp:lastModifiedBy>
  <dcterms:modified xsi:type="dcterms:W3CDTF">2019-10-11T06:15:51Z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